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spacing w:after="240" w:line="288" w:lineRule="auto"/>
        <w:ind w:left="0" w:leftChars="0" w:firstLine="0" w:firstLineChars="0"/>
        <w:jc w:val="center"/>
        <w:rPr>
          <w:rFonts w:ascii="宋体" w:hAnsi="宋体" w:cs="宋体"/>
          <w:sz w:val="24"/>
        </w:rPr>
      </w:pPr>
      <w:r>
        <w:rPr>
          <w:rFonts w:hint="eastAsia" w:ascii="宋体" w:hAnsi="宋体" w:cs="宋体"/>
          <w:b/>
          <w:bCs/>
          <w:sz w:val="36"/>
          <w:szCs w:val="36"/>
        </w:rPr>
        <w:t>河南法院电子邮件送达诉讼文书确认书</w:t>
      </w:r>
    </w:p>
    <w:p>
      <w:pPr>
        <w:keepNext w:val="0"/>
        <w:keepLines w:val="0"/>
        <w:pageBreakBefore w:val="0"/>
        <w:widowControl w:val="0"/>
        <w:kinsoku/>
        <w:overflowPunct/>
        <w:topLinePunct w:val="0"/>
        <w:autoSpaceDE w:val="0"/>
        <w:autoSpaceDN/>
        <w:bidi w:val="0"/>
        <w:adjustRightInd/>
        <w:snapToGrid/>
        <w:spacing w:line="380" w:lineRule="exact"/>
        <w:ind w:left="0" w:leftChars="0" w:right="0" w:rightChars="0" w:firstLine="480" w:firstLineChars="200"/>
        <w:jc w:val="left"/>
        <w:textAlignment w:val="auto"/>
        <w:outlineLvl w:val="9"/>
        <w:rPr>
          <w:sz w:val="24"/>
        </w:rPr>
      </w:pPr>
      <w:r>
        <w:rPr>
          <w:rFonts w:hint="eastAsia" w:ascii="宋体" w:hAnsi="宋体" w:cs="宋体"/>
          <w:sz w:val="24"/>
        </w:rPr>
        <w:t>为进一步方便您参与诉讼，提高诉讼文书送达效率，提升网上诉讼服务质量，本院依照相关法律规定规定，决定对部分诉讼文书采取电子邮件送达方式。在您选择确认同意此种送达方式前，请您仔细阅读并注意以下事项：</w:t>
      </w:r>
    </w:p>
    <w:p>
      <w:pPr>
        <w:keepNext w:val="0"/>
        <w:keepLines w:val="0"/>
        <w:pageBreakBefore w:val="0"/>
        <w:widowControl w:val="0"/>
        <w:kinsoku/>
        <w:overflowPunct/>
        <w:topLinePunct w:val="0"/>
        <w:autoSpaceDE w:val="0"/>
        <w:autoSpaceDN/>
        <w:bidi w:val="0"/>
        <w:adjustRightInd/>
        <w:snapToGrid/>
        <w:spacing w:line="380" w:lineRule="exact"/>
        <w:ind w:left="0" w:leftChars="0" w:right="0" w:rightChars="0" w:firstLine="480" w:firstLineChars="200"/>
        <w:jc w:val="left"/>
        <w:textAlignment w:val="auto"/>
        <w:outlineLvl w:val="9"/>
        <w:rPr>
          <w:sz w:val="24"/>
        </w:rPr>
      </w:pPr>
      <w:r>
        <w:rPr>
          <w:rFonts w:hint="eastAsia" w:ascii="宋体" w:hAnsi="宋体" w:cs="宋体"/>
          <w:sz w:val="24"/>
        </w:rPr>
        <w:t>一、本确认书中所指诉讼文书电子邮件送达，是指案件承办法官通过河南法院诉讼服务网（</w:t>
      </w:r>
      <w:r>
        <w:fldChar w:fldCharType="begin"/>
      </w:r>
      <w:r>
        <w:instrText xml:space="preserve"> HYPERLINK "http://ssfw.hncourt.gov.cn/" </w:instrText>
      </w:r>
      <w:r>
        <w:fldChar w:fldCharType="separate"/>
      </w:r>
      <w:r>
        <w:rPr>
          <w:rStyle w:val="5"/>
          <w:rFonts w:ascii="宋体" w:hAnsi="宋体" w:cs="宋体"/>
          <w:sz w:val="24"/>
        </w:rPr>
        <w:t>http://ssfw.hncourt.gov.cn/</w:t>
      </w:r>
      <w:r>
        <w:rPr>
          <w:rStyle w:val="5"/>
          <w:rFonts w:ascii="宋体" w:hAnsi="宋体" w:cs="宋体"/>
          <w:sz w:val="24"/>
        </w:rPr>
        <w:fldChar w:fldCharType="end"/>
      </w:r>
      <w:r>
        <w:rPr>
          <w:rFonts w:hint="eastAsia" w:ascii="宋体" w:hAnsi="宋体" w:cs="宋体"/>
          <w:sz w:val="24"/>
        </w:rPr>
        <w:t>），以电子邮件送达方式，向受送达人送达有关诉讼材料，受送达人凭证件号码及密码登录河南法院诉讼服务网电子邮件送达管理系统，阅读接收诉讼文书的方式。</w:t>
      </w:r>
    </w:p>
    <w:p>
      <w:pPr>
        <w:keepNext w:val="0"/>
        <w:keepLines w:val="0"/>
        <w:pageBreakBefore w:val="0"/>
        <w:widowControl w:val="0"/>
        <w:kinsoku/>
        <w:overflowPunct/>
        <w:topLinePunct w:val="0"/>
        <w:autoSpaceDE w:val="0"/>
        <w:autoSpaceDN/>
        <w:bidi w:val="0"/>
        <w:adjustRightInd/>
        <w:snapToGrid/>
        <w:spacing w:line="380" w:lineRule="exact"/>
        <w:ind w:left="0" w:leftChars="0" w:right="0" w:rightChars="0" w:firstLine="480" w:firstLineChars="200"/>
        <w:textAlignment w:val="auto"/>
        <w:outlineLvl w:val="9"/>
        <w:rPr>
          <w:rFonts w:hint="eastAsia" w:ascii="宋体" w:hAnsi="宋体" w:cs="宋体"/>
          <w:sz w:val="24"/>
        </w:rPr>
      </w:pPr>
      <w:r>
        <w:rPr>
          <w:rFonts w:hint="eastAsia" w:ascii="宋体" w:hAnsi="宋体" w:cs="宋体"/>
          <w:sz w:val="24"/>
        </w:rPr>
        <w:t>二、电子邮件送达诉讼文书的范围选择：</w:t>
      </w:r>
    </w:p>
    <w:p>
      <w:pPr>
        <w:keepNext w:val="0"/>
        <w:keepLines w:val="0"/>
        <w:pageBreakBefore w:val="0"/>
        <w:widowControl w:val="0"/>
        <w:kinsoku/>
        <w:overflowPunct/>
        <w:topLinePunct w:val="0"/>
        <w:autoSpaceDE w:val="0"/>
        <w:autoSpaceDN/>
        <w:bidi w:val="0"/>
        <w:adjustRightInd/>
        <w:snapToGrid/>
        <w:spacing w:line="380" w:lineRule="exact"/>
        <w:ind w:left="0" w:leftChars="0" w:right="0" w:rightChars="0" w:firstLine="480" w:firstLineChars="200"/>
        <w:jc w:val="left"/>
        <w:textAlignment w:val="auto"/>
        <w:outlineLvl w:val="9"/>
        <w:rPr>
          <w:rFonts w:hint="eastAsia" w:ascii="宋体" w:hAnsi="宋体" w:cs="宋体"/>
          <w:sz w:val="24"/>
        </w:rPr>
      </w:pPr>
      <w:r>
        <w:rPr>
          <w:rFonts w:hint="eastAsia" w:ascii="宋体" w:hAnsi="宋体" w:cs="宋体"/>
          <w:sz w:val="24"/>
        </w:rPr>
        <w:t>□ 一般授权：</w:t>
      </w:r>
      <w:r>
        <w:rPr>
          <w:rFonts w:hint="eastAsia" w:ascii="宋体" w:hAnsi="宋体" w:cs="宋体"/>
          <w:b/>
          <w:sz w:val="24"/>
        </w:rPr>
        <w:t>除判决书、裁定书、调解书、决定书以外的诉讼文书。</w:t>
      </w:r>
      <w:r>
        <w:rPr>
          <w:rFonts w:hint="eastAsia" w:ascii="宋体" w:hAnsi="宋体" w:cs="宋体"/>
          <w:sz w:val="24"/>
        </w:rPr>
        <w:t>主要包括案件受理通知书；应诉通知书；告知当事人审判组织组成人员通知书、告知当事人权利义务通知书、审判组织变更通知书；开庭传票；听证通知书；举证通知书；限期履行通知书；缴费、缴款通知书；审判信息查询须知；其他诉讼文书。</w:t>
      </w:r>
    </w:p>
    <w:p>
      <w:pPr>
        <w:keepNext w:val="0"/>
        <w:keepLines w:val="0"/>
        <w:pageBreakBefore w:val="0"/>
        <w:widowControl w:val="0"/>
        <w:kinsoku/>
        <w:overflowPunct/>
        <w:topLinePunct w:val="0"/>
        <w:autoSpaceDE w:val="0"/>
        <w:autoSpaceDN/>
        <w:bidi w:val="0"/>
        <w:adjustRightInd/>
        <w:snapToGrid/>
        <w:spacing w:line="380" w:lineRule="exact"/>
        <w:ind w:left="0" w:leftChars="0" w:right="0" w:rightChars="0" w:firstLine="480" w:firstLineChars="200"/>
        <w:jc w:val="left"/>
        <w:textAlignment w:val="auto"/>
        <w:outlineLvl w:val="9"/>
        <w:rPr>
          <w:sz w:val="24"/>
        </w:rPr>
      </w:pPr>
      <w:r>
        <w:rPr>
          <w:rFonts w:hint="eastAsia" w:ascii="宋体" w:hAnsi="宋体" w:cs="宋体"/>
          <w:sz w:val="24"/>
        </w:rPr>
        <w:t>□ 特别授权：</w:t>
      </w:r>
      <w:r>
        <w:rPr>
          <w:rFonts w:hint="eastAsia" w:ascii="宋体" w:hAnsi="宋体" w:cs="宋体"/>
          <w:b/>
          <w:sz w:val="24"/>
        </w:rPr>
        <w:t>经受送达人特别授权同意，人民法院采用电子邮件方式送达包含判决书、裁定书、调解书、决定书等全部类型的诉讼文书。</w:t>
      </w:r>
    </w:p>
    <w:p>
      <w:pPr>
        <w:keepNext w:val="0"/>
        <w:keepLines w:val="0"/>
        <w:pageBreakBefore w:val="0"/>
        <w:widowControl w:val="0"/>
        <w:kinsoku/>
        <w:overflowPunct/>
        <w:topLinePunct w:val="0"/>
        <w:autoSpaceDE w:val="0"/>
        <w:autoSpaceDN/>
        <w:bidi w:val="0"/>
        <w:adjustRightInd/>
        <w:snapToGrid/>
        <w:spacing w:line="380" w:lineRule="exact"/>
        <w:ind w:left="0" w:leftChars="0" w:right="0" w:rightChars="0" w:firstLine="480" w:firstLineChars="200"/>
        <w:jc w:val="left"/>
        <w:textAlignment w:val="auto"/>
        <w:outlineLvl w:val="9"/>
        <w:rPr>
          <w:sz w:val="24"/>
        </w:rPr>
      </w:pPr>
      <w:r>
        <w:rPr>
          <w:rFonts w:hint="eastAsia" w:ascii="宋体" w:hAnsi="宋体" w:cs="宋体"/>
          <w:sz w:val="24"/>
        </w:rPr>
        <w:t>三、电子邮件送达的流程</w:t>
      </w:r>
    </w:p>
    <w:p>
      <w:pPr>
        <w:keepNext w:val="0"/>
        <w:keepLines w:val="0"/>
        <w:pageBreakBefore w:val="0"/>
        <w:widowControl w:val="0"/>
        <w:kinsoku/>
        <w:overflowPunct/>
        <w:topLinePunct w:val="0"/>
        <w:autoSpaceDE w:val="0"/>
        <w:autoSpaceDN/>
        <w:bidi w:val="0"/>
        <w:adjustRightInd/>
        <w:snapToGrid/>
        <w:spacing w:line="380" w:lineRule="exact"/>
        <w:ind w:left="0" w:leftChars="0" w:right="0" w:rightChars="0" w:firstLine="480" w:firstLineChars="200"/>
        <w:jc w:val="left"/>
        <w:textAlignment w:val="auto"/>
        <w:outlineLvl w:val="9"/>
        <w:rPr>
          <w:sz w:val="24"/>
        </w:rPr>
      </w:pPr>
      <w:r>
        <w:rPr>
          <w:rFonts w:hint="eastAsia" w:ascii="宋体" w:hAnsi="宋体" w:cs="宋体"/>
          <w:sz w:val="24"/>
        </w:rPr>
        <w:t>（一） 经当事人或其委托代理人书面确认同意采用电子邮件送达方式后，承办法官或书记员为当事人登记身份证号码、组织机构代码、律师执业证号码、接收电子送达提示短信的手机号码等信息。送达专用邮箱开通后，当事人或其委托代理人预留的手机会即时收到短信提示，相关诉讼文书将通过电子邮件送达方式予以送达，因填写的内容不准确导致诉讼文书无法送达或者未能及时送达的，当事人自行承担由此可能产生的法律后果；</w:t>
      </w:r>
    </w:p>
    <w:p>
      <w:pPr>
        <w:keepNext w:val="0"/>
        <w:keepLines w:val="0"/>
        <w:pageBreakBefore w:val="0"/>
        <w:widowControl w:val="0"/>
        <w:kinsoku/>
        <w:overflowPunct/>
        <w:topLinePunct w:val="0"/>
        <w:autoSpaceDE w:val="0"/>
        <w:autoSpaceDN/>
        <w:bidi w:val="0"/>
        <w:adjustRightInd/>
        <w:snapToGrid/>
        <w:spacing w:line="380" w:lineRule="exact"/>
        <w:ind w:left="0" w:leftChars="0" w:right="0" w:rightChars="0" w:firstLine="480" w:firstLineChars="200"/>
        <w:jc w:val="left"/>
        <w:textAlignment w:val="auto"/>
        <w:outlineLvl w:val="9"/>
        <w:rPr>
          <w:sz w:val="24"/>
        </w:rPr>
      </w:pPr>
      <w:r>
        <w:rPr>
          <w:rFonts w:hint="eastAsia" w:ascii="宋体" w:hAnsi="宋体" w:cs="宋体"/>
          <w:sz w:val="24"/>
        </w:rPr>
        <w:t>（二）诉讼文书通过网上发送后，当事人或其委托代理人预留的手机会即时收到短信提示；</w:t>
      </w:r>
    </w:p>
    <w:p>
      <w:pPr>
        <w:keepNext w:val="0"/>
        <w:keepLines w:val="0"/>
        <w:pageBreakBefore w:val="0"/>
        <w:widowControl w:val="0"/>
        <w:kinsoku/>
        <w:overflowPunct/>
        <w:topLinePunct w:val="0"/>
        <w:autoSpaceDE w:val="0"/>
        <w:autoSpaceDN/>
        <w:bidi w:val="0"/>
        <w:adjustRightInd/>
        <w:snapToGrid/>
        <w:spacing w:line="380" w:lineRule="exact"/>
        <w:ind w:left="0" w:leftChars="0" w:right="0" w:rightChars="0" w:firstLine="480" w:firstLineChars="200"/>
        <w:jc w:val="left"/>
        <w:textAlignment w:val="auto"/>
        <w:outlineLvl w:val="9"/>
        <w:rPr>
          <w:sz w:val="24"/>
        </w:rPr>
      </w:pPr>
      <w:r>
        <w:rPr>
          <w:rFonts w:hint="eastAsia" w:ascii="宋体" w:hAnsi="宋体" w:cs="宋体"/>
          <w:sz w:val="24"/>
        </w:rPr>
        <w:t>（三）当事人或其委托代理人收到短信提示后，通过互联网访问河南法院诉讼服务网,输入用户名和密码进入邮件送达系统，阅读相关</w:t>
      </w:r>
      <w:bookmarkStart w:id="0" w:name="_GoBack"/>
      <w:bookmarkEnd w:id="0"/>
      <w:r>
        <w:rPr>
          <w:rFonts w:hint="eastAsia" w:ascii="宋体" w:hAnsi="宋体" w:cs="宋体"/>
          <w:sz w:val="24"/>
        </w:rPr>
        <w:t>诉讼文书。</w:t>
      </w:r>
    </w:p>
    <w:p>
      <w:pPr>
        <w:keepNext w:val="0"/>
        <w:keepLines w:val="0"/>
        <w:pageBreakBefore w:val="0"/>
        <w:widowControl w:val="0"/>
        <w:kinsoku/>
        <w:overflowPunct/>
        <w:topLinePunct w:val="0"/>
        <w:autoSpaceDE w:val="0"/>
        <w:autoSpaceDN/>
        <w:bidi w:val="0"/>
        <w:adjustRightInd/>
        <w:snapToGrid/>
        <w:spacing w:line="380" w:lineRule="exact"/>
        <w:ind w:left="0" w:leftChars="0" w:right="0" w:rightChars="0" w:firstLine="480" w:firstLineChars="200"/>
        <w:jc w:val="left"/>
        <w:textAlignment w:val="auto"/>
        <w:outlineLvl w:val="9"/>
        <w:rPr>
          <w:sz w:val="24"/>
        </w:rPr>
      </w:pPr>
      <w:r>
        <w:rPr>
          <w:rFonts w:hint="eastAsia" w:ascii="宋体" w:hAnsi="宋体" w:cs="宋体"/>
          <w:sz w:val="24"/>
        </w:rPr>
        <w:t>四、电子邮件送达诉讼文书的效力：经受送达人同意，人民法院采用电子邮件方式送达诉讼文书，</w:t>
      </w:r>
      <w:r>
        <w:rPr>
          <w:rFonts w:hint="eastAsia" w:ascii="宋体" w:hAnsi="宋体" w:cs="宋体"/>
          <w:b/>
          <w:sz w:val="24"/>
        </w:rPr>
        <w:t>以电子邮件到达受送达人特定邮箱系统的日期为送达日期。</w:t>
      </w:r>
    </w:p>
    <w:p>
      <w:pPr>
        <w:keepNext w:val="0"/>
        <w:keepLines w:val="0"/>
        <w:pageBreakBefore w:val="0"/>
        <w:widowControl w:val="0"/>
        <w:kinsoku/>
        <w:overflowPunct/>
        <w:topLinePunct w:val="0"/>
        <w:autoSpaceDE w:val="0"/>
        <w:autoSpaceDN/>
        <w:bidi w:val="0"/>
        <w:adjustRightInd/>
        <w:snapToGrid/>
        <w:spacing w:line="380" w:lineRule="exact"/>
        <w:ind w:left="0" w:leftChars="0" w:right="0" w:rightChars="0" w:firstLine="480" w:firstLineChars="200"/>
        <w:jc w:val="left"/>
        <w:textAlignment w:val="auto"/>
        <w:outlineLvl w:val="9"/>
        <w:rPr>
          <w:rFonts w:ascii="宋体" w:hAnsi="宋体" w:cs="宋体"/>
          <w:sz w:val="24"/>
        </w:rPr>
      </w:pPr>
      <w:r>
        <w:rPr>
          <w:rFonts w:hint="eastAsia" w:ascii="宋体" w:hAnsi="宋体" w:cs="宋体"/>
          <w:sz w:val="24"/>
        </w:rPr>
        <w:t>五、当事人或其委托代理人已阅读并充分理解本确认书的内容并同意接受电子邮件送达方式的，请在本确认书最后一栏签名处予以签名确认。本确认书一式两份，受送达人和人民法院各执一份。</w:t>
      </w:r>
    </w:p>
    <w:p>
      <w:pPr>
        <w:keepNext w:val="0"/>
        <w:keepLines w:val="0"/>
        <w:pageBreakBefore w:val="0"/>
        <w:widowControl w:val="0"/>
        <w:kinsoku/>
        <w:wordWrap w:val="0"/>
        <w:overflowPunct/>
        <w:topLinePunct w:val="0"/>
        <w:autoSpaceDE w:val="0"/>
        <w:autoSpaceDN/>
        <w:bidi w:val="0"/>
        <w:adjustRightInd/>
        <w:snapToGrid/>
        <w:spacing w:line="380" w:lineRule="exact"/>
        <w:ind w:left="0" w:leftChars="0" w:right="0" w:rightChars="0" w:firstLine="480" w:firstLineChars="200"/>
        <w:jc w:val="right"/>
        <w:textAlignment w:val="auto"/>
        <w:outlineLvl w:val="9"/>
        <w:rPr>
          <w:sz w:val="24"/>
        </w:rPr>
      </w:pPr>
      <w:r>
        <w:rPr>
          <w:rFonts w:hint="eastAsia" w:ascii="宋体" w:hAnsi="宋体" w:cs="宋体"/>
          <w:sz w:val="24"/>
        </w:rPr>
        <w:t xml:space="preserve">当事人或委托代理人：       </w:t>
      </w:r>
    </w:p>
    <w:p>
      <w:pPr>
        <w:keepNext w:val="0"/>
        <w:keepLines w:val="0"/>
        <w:pageBreakBefore w:val="0"/>
        <w:widowControl w:val="0"/>
        <w:kinsoku/>
        <w:overflowPunct/>
        <w:topLinePunct w:val="0"/>
        <w:autoSpaceDE w:val="0"/>
        <w:autoSpaceDN/>
        <w:bidi w:val="0"/>
        <w:adjustRightInd/>
        <w:snapToGrid/>
        <w:spacing w:line="380" w:lineRule="exact"/>
        <w:ind w:left="0" w:leftChars="0" w:right="0" w:rightChars="0" w:firstLine="480" w:firstLineChars="200"/>
        <w:jc w:val="right"/>
        <w:textAlignment w:val="auto"/>
        <w:outlineLvl w:val="9"/>
        <w:rPr>
          <w:sz w:val="24"/>
        </w:rPr>
      </w:pPr>
      <w:r>
        <w:rPr>
          <w:rFonts w:hint="eastAsia" w:ascii="宋体" w:hAnsi="宋体" w:cs="宋体"/>
          <w:sz w:val="24"/>
        </w:rPr>
        <w:t>（ 签名、盖章）</w:t>
      </w:r>
    </w:p>
    <w:p>
      <w:pPr>
        <w:keepNext w:val="0"/>
        <w:keepLines w:val="0"/>
        <w:pageBreakBefore w:val="0"/>
        <w:widowControl w:val="0"/>
        <w:kinsoku/>
        <w:wordWrap w:val="0"/>
        <w:overflowPunct/>
        <w:topLinePunct w:val="0"/>
        <w:autoSpaceDN/>
        <w:bidi w:val="0"/>
        <w:adjustRightInd/>
        <w:snapToGrid/>
        <w:spacing w:line="380" w:lineRule="exact"/>
        <w:ind w:left="0" w:leftChars="0" w:right="0" w:rightChars="0"/>
        <w:jc w:val="right"/>
        <w:textAlignment w:val="auto"/>
        <w:outlineLvl w:val="9"/>
        <w:rPr>
          <w:sz w:val="24"/>
        </w:rPr>
      </w:pPr>
      <w:r>
        <w:rPr>
          <w:rFonts w:hint="eastAsia" w:ascii="宋体" w:hAnsi="宋体" w:cs="宋体"/>
          <w:sz w:val="24"/>
        </w:rPr>
        <w:t>年     月    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41B95"/>
    <w:rsid w:val="00041B95"/>
    <w:rsid w:val="001E2232"/>
    <w:rsid w:val="004443A9"/>
    <w:rsid w:val="006712D7"/>
    <w:rsid w:val="008C0094"/>
    <w:rsid w:val="00943CB1"/>
    <w:rsid w:val="00C27FF7"/>
    <w:rsid w:val="00DD3F10"/>
    <w:rsid w:val="2B250D98"/>
    <w:rsid w:val="335B2942"/>
    <w:rsid w:val="35AE40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5">
    <w:name w:val="Hyperlink"/>
    <w:basedOn w:val="4"/>
    <w:unhideWhenUsed/>
    <w:uiPriority w:val="99"/>
    <w:rPr>
      <w:color w:val="0000FF"/>
      <w:u w:val="single"/>
    </w:rPr>
  </w:style>
  <w:style w:type="character" w:customStyle="1" w:styleId="7">
    <w:name w:val="页眉 Char"/>
    <w:basedOn w:val="4"/>
    <w:link w:val="3"/>
    <w:semiHidden/>
    <w:qFormat/>
    <w:uiPriority w:val="99"/>
    <w:rPr>
      <w:sz w:val="18"/>
      <w:szCs w:val="18"/>
    </w:rPr>
  </w:style>
  <w:style w:type="character" w:customStyle="1" w:styleId="8">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153</Words>
  <Characters>874</Characters>
  <Lines>7</Lines>
  <Paragraphs>2</Paragraphs>
  <TotalTime>0</TotalTime>
  <ScaleCrop>false</ScaleCrop>
  <LinksUpToDate>false</LinksUpToDate>
  <CharactersWithSpaces>1025</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2017-05-05T01:50:00Z</dcterms:created>
  <dc:creator>微软用户</dc:creator>
  <cp:lastModifiedBy>Key</cp:lastModifiedBy>
  <dcterms:modified xsi:type="dcterms:W3CDTF">2017-11-15T01:35:38Z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